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87.png" ContentType="image/png"/>
  <Override PartName="/word/media/rId91.png" ContentType="image/png"/>
  <Override PartName="/word/media/rId95.png" ContentType="image/png"/>
  <Override PartName="/word/media/rId61.png" ContentType="image/png"/>
  <Override PartName="/word/media/rId65.png" ContentType="image/png"/>
  <Override PartName="/word/media/rId69.png" ContentType="image/png"/>
  <Override PartName="/word/media/rId74.png" ContentType="image/png"/>
  <Override PartName="/word/media/rId78.png" ContentType="image/png"/>
  <Override PartName="/word/media/rId82.png" ContentType="image/png"/>
  <Override PartName="/word/media/rId48.png" ContentType="image/png"/>
  <Override PartName="/word/media/rId52.png" ContentType="image/png"/>
  <Override PartName="/word/media/rId56.png" ContentType="image/png"/>
  <Override PartName="/word/media/rId21.png" ContentType="image/png"/>
  <Override PartName="/word/media/rId27.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Results_Docx</w:t>
      </w:r>
    </w:p>
    <w:p>
      <w:pPr>
        <w:pStyle w:val="FirstParagraph"/>
      </w:pPr>
      <w:r>
        <w:t xml:space="preserve">Scoring algorithms are provided in</w:t>
      </w:r>
      <w:r>
        <w:t xml:space="preserve"> </w:t>
      </w:r>
      <w:r>
        <w:rPr>
          <w:b/>
          <w:bCs/>
        </w:rPr>
        <w:t xml:space="preserve">?@tbl-scoring</w:t>
      </w:r>
      <w:r>
        <w:t xml:space="preserve">. Sociodemographic characteristics of the sample and frequency of eating disorder diagnosis groups for each country are presented in Supplemental</w:t>
      </w:r>
      <w:r>
        <w:t xml:space="preserve"> </w:t>
      </w:r>
      <w:r>
        <w:rPr>
          <w:b/>
          <w:bCs/>
        </w:rPr>
        <w:t xml:space="preserve">?@tbl-tbl1</w:t>
      </w:r>
      <w:r>
        <w:t xml:space="preserve">.</w:t>
      </w:r>
    </w:p>
    <w:bookmarkStart w:id="20" w:name="X3e8cc2ab868eeebc7b57250fe9fc48031639a10"/>
    <w:p>
      <w:pPr>
        <w:pStyle w:val="Heading2"/>
      </w:pPr>
      <w:r>
        <w:t xml:space="preserve">Preliminary Aim - Develop a scoring algorithm</w:t>
      </w:r>
    </w:p>
    <w:p>
      <w:pPr>
        <w:pStyle w:val="FirstParagraph"/>
      </w:pPr>
      <w:r>
        <w:t xml:space="preserve">The ED100k included 12 questions assessing maladaptive exercise (see Supplemental</w:t>
      </w:r>
      <w:r>
        <w:t xml:space="preserve"> </w:t>
      </w:r>
      <w:hyperlink w:anchor="fig-flowchart">
        <w:r>
          <w:rPr>
            <w:rStyle w:val="Hyperlink"/>
          </w:rPr>
          <w:t xml:space="preserve">Figure 4</w:t>
        </w:r>
      </w:hyperlink>
      <w:r>
        <w:t xml:space="preserve">) The first question, which all participants were asked, inquires as to whether individuals</w:t>
      </w:r>
      <w:r>
        <w:t xml:space="preserve"> </w:t>
      </w:r>
      <w:r>
        <w:rPr>
          <w:i/>
          <w:iCs/>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
          <w:iCs/>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participants who endorsed episodes of binge eating with loss of control were asked whether they had</w:t>
      </w:r>
      <w:r>
        <w:t xml:space="preserve"> </w:t>
      </w:r>
      <w:r>
        <w:t xml:space="preserve">‘</w:t>
      </w:r>
      <w:r>
        <w:t xml:space="preserve">exercised excessively</w:t>
      </w:r>
      <w:r>
        <w:t xml:space="preserve">’</w:t>
      </w:r>
      <w:r>
        <w:t xml:space="preserve"> </w:t>
      </w:r>
      <w:r>
        <w:t xml:space="preserve">specifically to</w:t>
      </w:r>
      <w:r>
        <w:t xml:space="preserve"> </w:t>
      </w:r>
      <w:r>
        <w:rPr>
          <w:i/>
          <w:iCs/>
        </w:rPr>
        <w:t xml:space="preserve">compensate</w:t>
      </w:r>
      <w:r>
        <w:t xml:space="preserve"> </w:t>
      </w:r>
      <w:r>
        <w:t xml:space="preserve">for episodes of binge eating or overeating (Q12). During recoding, those (NZ n = 833 ; SE n = 2716; USA n = 1740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(NZ n = 135; SE n = 143; USA n = 203) were marked as</w:t>
      </w:r>
      <w:r>
        <w:t xml:space="preserve"> </w:t>
      </w:r>
      <w:r>
        <w:t xml:space="preserve">‘</w:t>
      </w:r>
      <w:r>
        <w:t xml:space="preserve">0</w:t>
      </w:r>
      <w:r>
        <w:t xml:space="preserve">’</w:t>
      </w:r>
      <w:r>
        <w:t xml:space="preserve"> </w:t>
      </w:r>
      <w:r>
        <w:t xml:space="preserve">for Q4-Q9. Thos who did not endorse episodes of binge eating were marked as</w:t>
      </w:r>
      <w:r>
        <w:t xml:space="preserve"> </w:t>
      </w:r>
      <w:r>
        <w:t xml:space="preserve">‘</w:t>
      </w:r>
      <w:r>
        <w:t xml:space="preserve">0</w:t>
      </w:r>
      <w:r>
        <w:t xml:space="preserve">’</w:t>
      </w:r>
      <w:r>
        <w:t xml:space="preserve"> </w:t>
      </w:r>
      <w:r>
        <w:t xml:space="preserve">for Q12. Frequencies for the 10 dichotomous/ordinal exercise items with imputed values based on skip patterns (see scoring) are provide in Supplemental</w:t>
      </w:r>
      <w:r>
        <w:t xml:space="preserve"> </w:t>
      </w:r>
      <w:r>
        <w:rPr>
          <w:b/>
          <w:bCs/>
        </w:rPr>
        <w:t xml:space="preserve">?@tbl-ed100kItems</w:t>
      </w:r>
      <w:r>
        <w:t xml:space="preserve">. Median age of onset for those reporting any compulsive exercise in the sample was NZ: 16 years; SE: 15 years; USA: 16 years and the median age of last report of compulsive exercise was NZ: 22 years; SE: 23 years; USA: 23 years. Among those who reported any compulsive exercise, NZ: 52.71%; SE: 47.51%; USA: 47.01% reported that this was an ongoing symptom.</w:t>
      </w:r>
    </w:p>
    <w:bookmarkEnd w:id="20"/>
    <w:bookmarkStart w:id="26" w:name="X8208e106ea0f946c07a8fecd29a344c634f2701"/>
    <w:p>
      <w:pPr>
        <w:pStyle w:val="Heading2"/>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 with the overall prevalence of each construct presented on the off diagonal.</w:t>
      </w:r>
    </w:p>
    <w:tbl>
      <w:tblPr>
        <w:tblStyle w:val="Table"/>
        <w:tblW w:type="pct" w:w="5000"/>
        <w:tblLayout w:type="fixed"/>
        <w:tblLook w:firstRow="0" w:lastRow="0" w:firstColumn="0" w:lastColumn="0" w:noHBand="0" w:noVBand="0" w:val="0000"/>
      </w:tblPr>
      <w:tblGrid>
        <w:gridCol w:w="7920"/>
      </w:tblGrid>
      <w:tr>
        <w:tc>
          <w:tcPr/>
          <w:bookmarkStart w:id="24" w:name="fig-heatmap"/>
          <w:p>
            <w:pPr>
              <w:pStyle w:val="Compact"/>
              <w:jc w:val="center"/>
            </w:pPr>
            <w:r>
              <w:drawing>
                <wp:inline>
                  <wp:extent cx="5334000" cy="6858000"/>
                  <wp:effectExtent b="0" l="0" r="0" t="0"/>
                  <wp:docPr descr="" title="" id="22" name="Picture"/>
                  <a:graphic>
                    <a:graphicData uri="http://schemas.openxmlformats.org/drawingml/2006/picture">
                      <pic:pic>
                        <pic:nvPicPr>
                          <pic:cNvPr descr="figs/combined_heatmap.png" id="23" name="Picture"/>
                          <pic:cNvPicPr>
                            <a:picLocks noChangeArrowheads="1" noChangeAspect="1"/>
                          </pic:cNvPicPr>
                        </pic:nvPicPr>
                        <pic:blipFill>
                          <a:blip r:embed="rId21"/>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as the percentage of (sub)samples (horizontal axis) meeting criteria for each (sub)construct (vertical axis). Overall prevalence of each construct is presented on the off diagnional.</w:t>
            </w:r>
          </w:p>
          <w:bookmarkEnd w:id="24"/>
        </w:tc>
      </w:tr>
    </w:tbl>
    <w:bookmarkStart w:id="25" w:name="X9a9155513b3d6234c5d40f472e55b7fd0e4d7ad"/>
    <w:p>
      <w:pPr>
        <w:pStyle w:val="Heading3"/>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Any (Approach #1) are highly likely to confirm either feeling compelled to exercise or distressed when unable to exercise (#3; high positive predictive value). As hypothesized, Q1 Any (#1) had more moderate positive predictive value for approaches #4-7 (compulsive/driven [narrow], addictive, excessive, compulsive).</w:t>
      </w:r>
    </w:p>
    <w:p>
      <w:pPr>
        <w:pStyle w:val="BodyText"/>
      </w:pPr>
      <w:r>
        <w:t xml:space="preserve">Among those meeting Q1 Regular (#2), individuals were likely to engage in this behavior for a substantive period of time – NZ: 97.19%; SE: 98.23%; USA: 98.6% of those meeting Q1 Regular reported maladaptive exercise for a duration of &gt; 3 months; a time period of equivalent to diagnostic levels of other intentional weight control behaviors. Those meeting Q1 Regular were also highly likely to report symptoms consistent with definitions of both compulsive/driven (high positive predictive value for #3-4), addictive (high positive predictive value for #5) exercise. Q1 Regular positive predictive value for predicting excessive exercise (#6) was also high, but less so than approaches #3-5.</w:t>
      </w:r>
    </w:p>
    <w:p>
      <w:pPr>
        <w:pStyle w:val="BodyText"/>
      </w:pPr>
      <w:r>
        <w:t xml:space="preserve">Supplemental</w:t>
      </w:r>
      <w:r>
        <w:t xml:space="preserve"> </w:t>
      </w:r>
      <w:hyperlink w:anchor="fig-Q1sensitivity">
        <w:r>
          <w:rPr>
            <w:rStyle w:val="Hyperlink"/>
          </w:rPr>
          <w:t xml:space="preserve">Figure 5</w:t>
        </w:r>
      </w:hyperlink>
      <w:r>
        <w:t xml:space="preserve"> </w:t>
      </w:r>
      <w:r>
        <w:t xml:space="preserve">reports full metrics on the utility of Q1 Any and Q1 Regular to capture definitions in approaches #3-8. The sensitivity and negative predictive values of Q1 Any detection of approaches #3-6 were forced to 1.0 by definition. Overall accuracy metrics of Q1 Any predicting #3, and Q1 Regular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positive predictive value and overall accuracy for Q1 Any predicting compensatory accuracy (#7) were moderate, suggesting that not all individuals who endorse Q1 Any also endorse compensatory exercise, sensitivity was high – almost all of those who endorsed compensatory exercise also endorsed Q1 Any. Overall accuracy of both Q1 Any and Q1 Regular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End w:id="25"/>
    <w:bookmarkEnd w:id="26"/>
    <w:bookmarkStart w:id="31" w:name="X1b7c7c3a0909272bb8c47e12829620d390ededc"/>
    <w:p>
      <w:pPr>
        <w:pStyle w:val="Heading2"/>
      </w:pPr>
      <w:r>
        <w:t xml:space="preserve">Aim 2. Demonstrate Prevalence of Maladaptive (Broad), Compulsive, Addictive, Excessive, and Compensatory Exercise across Diagnostic Groups</w:t>
      </w:r>
    </w:p>
    <w:p>
      <w:pPr>
        <w:pStyle w:val="FirstParagraph"/>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2</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with the majority reporting at least some history of this behavior. Output from contrasts between all diagnostic groups are presented in Supplemental</w:t>
      </w:r>
      <w:r>
        <w:t xml:space="preserve"> </w:t>
      </w:r>
      <w:r>
        <w:rPr>
          <w:b/>
          <w:bCs/>
        </w:rPr>
        <w:t xml:space="preserve">?@tbl-dxcontrasts</w:t>
      </w:r>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tbl>
      <w:tblPr>
        <w:tblStyle w:val="Table"/>
        <w:tblW w:type="pct" w:w="5000"/>
        <w:tblLayout w:type="fixed"/>
        <w:tblLook w:firstRow="0" w:lastRow="0" w:firstColumn="0" w:lastColumn="0" w:noHBand="0" w:noVBand="0" w:val="0000"/>
      </w:tblPr>
      <w:tblGrid>
        <w:gridCol w:w="7920"/>
      </w:tblGrid>
      <w:tr>
        <w:tc>
          <w:tcPr/>
          <w:bookmarkStart w:id="30" w:name="fig-dxgroups"/>
          <w:p>
            <w:pPr>
              <w:pStyle w:val="Compact"/>
              <w:jc w:val="center"/>
            </w:pPr>
            <w:r>
              <w:drawing>
                <wp:inline>
                  <wp:extent cx="5334000" cy="4445000"/>
                  <wp:effectExtent b="0" l="0" r="0" t="0"/>
                  <wp:docPr descr="" title="" id="28" name="Picture"/>
                  <a:graphic>
                    <a:graphicData uri="http://schemas.openxmlformats.org/drawingml/2006/picture">
                      <pic:pic>
                        <pic:nvPicPr>
                          <pic:cNvPr descr="figs/dxgroups.png" id="29"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Percentage within each diganostic group reporting differing exercise constructs</w:t>
            </w:r>
          </w:p>
          <w:bookmarkEnd w:id="30"/>
        </w:tc>
      </w:tr>
    </w:tbl>
    <w:bookmarkEnd w:id="31"/>
    <w:bookmarkStart w:id="43" w:name="X7a1edfb3f376a046e33672267c6262c12f307fe"/>
    <w:p>
      <w:pPr>
        <w:pStyle w:val="Heading2"/>
      </w:pPr>
      <w:r>
        <w:t xml:space="preserve">Aim 3. Evaluate Convergent and Discriminant Validity between ED100k Scoring Approaches and: Current Compulsive Exercise, Perfectionism, and OCD symptoms</w:t>
      </w:r>
    </w:p>
    <w:bookmarkStart w:id="41" w:name="cet-sand-edeq-driven-exercise"/>
    <w:p>
      <w:pPr>
        <w:pStyle w:val="Heading3"/>
      </w:pPr>
      <w:r>
        <w:t xml:space="preserve">CET sand EDEQ driven exercise</w:t>
      </w:r>
    </w:p>
    <w:p>
      <w:pPr>
        <w:pStyle w:val="FirstParagraph"/>
      </w:pPr>
      <w:r>
        <w:t xml:space="preserve">Confusion matrix components for ED100k scoring approaches and current compulsive/driven exercise endorsement assessed by 1. meeting CET clinical cutoff and 2. endorsement of EDEQ (any and at least weekly) driven exercise in the past 28 days are presented in Supplemental</w:t>
      </w:r>
      <w:r>
        <w:t xml:space="preserve"> </w:t>
      </w:r>
      <w:hyperlink w:anchor="fig-npv">
        <w:r>
          <w:rPr>
            <w:rStyle w:val="Hyperlink"/>
          </w:rPr>
          <w:t xml:space="preserve">Figure 6</w:t>
        </w:r>
      </w:hyperlink>
      <w:r>
        <w:t xml:space="preserve">. As hypothesized, approaches #1, 2, and 8 had a high negative predictive value: those who did not endorse any history of, rare history of, or no current maladaptive exercise were unlikely to endorse current compulsive or driven exercise on the CET and EDEQ. negative predictive values for both CET clinical cutoff and weekly or more EDEQ driven exercise (4x or more over the past 28 days) were &gt; 0.9. negative predictive values were slightly lower for reports of any EDEQ driven exercise over the past 28 days (~ 0.85), indicating that some individuals who endorse no history of compulsive exercise may engage in this behavior at relatively low frequency.</w:t>
      </w:r>
    </w:p>
    <w:p>
      <w:pPr>
        <w:pStyle w:val="BodyText"/>
      </w:pPr>
      <w:r>
        <w:t xml:space="preserve">Accuracy of #1, #2, #6, and #7 in relation to current measures of driven/compulsive exercise were moderate, indicating only a portion of individuals who reported</w:t>
      </w:r>
      <w:r>
        <w:t xml:space="preserve"> </w:t>
      </w:r>
      <w:r>
        <w:rPr>
          <w:i/>
          <w:iCs/>
        </w:rPr>
        <w:t xml:space="preserve">history</w:t>
      </w:r>
      <w:r>
        <w:t xml:space="preserve"> </w:t>
      </w:r>
      <w:r>
        <w:t xml:space="preserve">of maladaptive exercise – via various operationalizations - on the ED100k were engaging in compulsive/driven at the time of assessment. positive predictive value was highest for #1 (&gt;0.95), and in a moderate-to-high range for #2,6,7, &amp; 8, indicating that a portion of individuals who report current maladaptive exericse on the CET or EDEQ do not report history of driven exercise on the ED100k operationalizations #2, 6, 7, or 8. positive predictive value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p>
      <w:pPr>
        <w:pStyle w:val="BodyText"/>
      </w:pPr>
      <w:r>
        <w:t xml:space="preserve">Overall, NZ: 18.73%; SE: 31.76%; USA: 21.52% of the sample reported no history of maladaptive exercise, NZ: 38.43%; SE: 35.82%; USA: 41.58% reported a history of maladaptive exercise that was not current, and NZ: 42.84%; SE: 32.42%; USA: 41.58% reported current maladaptive exercise.</w:t>
      </w:r>
    </w:p>
    <w:p>
      <w:pPr>
        <w:pStyle w:val="BodyText"/>
      </w:pPr>
      <w:r>
        <w:t xml:space="preserve">Boxplots with median standardized scores on all CET subscales along with CET total score is presented in</w:t>
      </w:r>
      <w:r>
        <w:t xml:space="preserve"> </w:t>
      </w:r>
      <w:hyperlink w:anchor="fig-CETEDEQ-1">
        <w:r>
          <w:rPr>
            <w:rStyle w:val="Hyperlink"/>
          </w:rPr>
          <w:t xml:space="preserve">Figure 3 (a)</w:t>
        </w:r>
      </w:hyperlink>
      <w:r>
        <w:t xml:space="preserve">, and a plot showing the median frequency of EDEQ driven exericse episodes in the past 28 days is presented in</w:t>
      </w:r>
      <w:r>
        <w:t xml:space="preserve"> </w:t>
      </w:r>
      <w:hyperlink w:anchor="fig-CETEDEQ-2">
        <w:r>
          <w:rPr>
            <w:rStyle w:val="Hyperlink"/>
          </w:rPr>
          <w:t xml:space="preserve">Figure 3 (b)</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fig-CETEDEQ"/>
          <w:tbl>
            <w:tblPr>
              <w:tblStyle w:val="Table"/>
              <w:tblW w:type="pct" w:w="5000"/>
              <w:tblLayout w:type="fixed"/>
              <w:tblLook w:firstRow="0" w:lastRow="0" w:firstColumn="0" w:lastColumn="0" w:noHBand="0" w:noVBand="0" w:val="0000"/>
            </w:tblPr>
            <w:tblGrid>
              <w:gridCol w:w="7920"/>
            </w:tblGrid>
            <w:tr>
              <w:tc>
                <w:tcPr/>
                <w:bookmarkStart w:id="35" w:name="fig-CETEDEQ-1"/>
                <w:p>
                  <w:pPr>
                    <w:pStyle w:val="Compact"/>
                    <w:jc w:val="center"/>
                    <w:jc w:val="center"/>
                  </w:pPr>
                  <w:r>
                    <w:drawing>
                      <wp:inline>
                        <wp:extent cx="5334000" cy="4445000"/>
                        <wp:effectExtent b="0" l="0" r="0" t="0"/>
                        <wp:docPr descr="" title="" id="33" name="Picture"/>
                        <a:graphic>
                          <a:graphicData uri="http://schemas.openxmlformats.org/drawingml/2006/picture">
                            <pic:pic>
                              <pic:nvPicPr>
                                <pic:cNvPr descr="figs/CET_subscales_boxplot.png" id="34"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Median (+ 25th-75th percentile range) within-cohort standardized CET subscale scores across those reporting no maladaptive exercise, history of maladaptive exercise only (#1, but not 8), and current maladaptive exercise (#8) on the ED100k</w:t>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CETEDEQ-2"/>
                <w:p>
                  <w:pPr>
                    <w:pStyle w:val="Compact"/>
                    <w:jc w:val="center"/>
                    <w:jc w:val="center"/>
                  </w:pPr>
                  <w:r>
                    <w:drawing>
                      <wp:inline>
                        <wp:extent cx="5334000" cy="4267200"/>
                        <wp:effectExtent b="0" l="0" r="0" t="0"/>
                        <wp:docPr descr="" title="" id="37" name="Picture"/>
                        <a:graphic>
                          <a:graphicData uri="http://schemas.openxmlformats.org/drawingml/2006/picture">
                            <pic:pic>
                              <pic:nvPicPr>
                                <pic:cNvPr descr="figs/EDEQ_boxplot.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ED100k Maladapitve Exercise (None, History Only, and Current) vs. EDEQ Exercise Frequency</w:t>
                  </w:r>
                </w:p>
                <w:bookmarkEnd w:id="39"/>
              </w:tc>
            </w:tr>
          </w:tbl>
          <w:p>
            <w:pPr>
              <w:jc w:val="center"/>
            </w:pPr>
            <w:pPr>
              <w:jc w:val="start"/>
              <w:spacing w:before="200"/>
              <w:pStyle w:val="ImageCaption"/>
            </w:pPr>
            <w:r>
              <w:t xml:space="preserve">Figure 3: Median (+ 25th-75th percentile range) within-cohort standardized CET subscale scores and EDEQ driven exercise frequency across those reporting no maladaptive exercise, history of maladaptive exercise only (#1, but not 8), and current maladaptive exercise (#8) on the ED100k</w:t>
            </w:r>
          </w:p>
          <w:bookmarkEnd w:id="40"/>
        </w:tc>
      </w:tr>
    </w:tbl>
    <w:p>
      <w:pPr>
        <w:pStyle w:val="BodyText"/>
      </w:pPr>
      <w:r>
        <w:t xml:space="preserve">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p>
      <w:pPr>
        <w:pStyle w:val="BodyText"/>
      </w:pPr>
      <w:r>
        <w:t xml:space="preserve">Supplemental</w:t>
      </w:r>
      <w:r>
        <w:t xml:space="preserve"> </w:t>
      </w:r>
      <w:r>
        <w:rPr>
          <w:b/>
          <w:bCs/>
        </w:rPr>
        <w:t xml:space="preserve">?@tbl-CETANOVA</w:t>
      </w:r>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w:t>
      </w:r>
      <w:r>
        <w:t xml:space="preserve"> </w:t>
      </w:r>
      <w:r>
        <w:rPr>
          <w:b/>
          <w:bCs/>
        </w:rPr>
        <w:t xml:space="preserve">?@tbl-CETcontrasts</w:t>
      </w:r>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pPr>
        <w:pStyle w:val="BodyText"/>
      </w:pPr>
      <w:r>
        <w:t xml:space="preserve">The proportion of individuals meeting the clinical cutoff for current compulsive exercise on the CET varied as expected by endorsement of historical and current endorsement of maladaptive exercise on the ED100k. Only NZ: 7.34%; SE: 1.47%; USA: 4.59% of individuals who reported no history of maladaptive exercise met current CET clinical cutoff, while NZ: 19.36%; SE: 6.28%; USA: 18.73% of those reporting history, but not current maladaptive exercise (#2 but not #8) met clinical cutoff on the CET, and NZ: 60.61%; SE: 40.64%; USA: 63.74%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NZ: 3.03; SE: 4.48; USA: 4.8 and those reporting current maladaptive exercise had an odds ratio of NZ: 19.42;SE: 45.75; USA: 36.57,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r>
        <w:rPr>
          <w:b/>
          <w:bCs/>
        </w:rPr>
        <w:t xml:space="preserve">?@tbl-EDEQZin</w:t>
      </w:r>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End w:id="41"/>
    <w:bookmarkStart w:id="42" w:name="ocd-symptoms-and-perfectionism"/>
    <w:p>
      <w:pPr>
        <w:pStyle w:val="Heading3"/>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Graphs depicting means and standard deviations for OCI total and subscale scores within diagnostic groups are presented in Supplemental</w:t>
      </w:r>
      <w:r>
        <w:t xml:space="preserve"> </w:t>
      </w:r>
      <w:hyperlink w:anchor="fig-OCI">
        <w:r>
          <w:rPr>
            <w:rStyle w:val="Hyperlink"/>
          </w:rPr>
          <w:t xml:space="preserve">Figure 7</w:t>
        </w:r>
      </w:hyperlink>
      <w:r>
        <w:t xml:space="preserve">. A table showing t-tests and Cohen’s D effect sizes for comparisons of subscale and total OCI scores within diagnostic groups is presented in Supplemental</w:t>
      </w:r>
      <w:r>
        <w:t xml:space="preserve"> </w:t>
      </w:r>
      <w:r>
        <w:rPr>
          <w:b/>
          <w:bCs/>
        </w:rPr>
        <w:t xml:space="preserve">?@tbl-OCI</w:t>
      </w:r>
      <w:r>
        <w:t xml:space="preserve">. Effect sizes were small-to-moderate (NZ Range = 0.002-0.435; Median = 0.125; SE Range = 0.005-0.453; Median = 0.136; USA Range = 0.002-0.422; Median = 0.156; ).</w:t>
      </w:r>
    </w:p>
    <w:p>
      <w:pPr>
        <w:pStyle w:val="BodyText"/>
      </w:pPr>
      <w:r>
        <w:t xml:space="preserve">Graphs depicting means and standard deviations for MPS total and subscale scores within diagnostic groups are presented in Supplemental</w:t>
      </w:r>
      <w:r>
        <w:t xml:space="preserve"> </w:t>
      </w:r>
      <w:hyperlink w:anchor="fig-MPS">
        <w:r>
          <w:rPr>
            <w:rStyle w:val="Hyperlink"/>
          </w:rPr>
          <w:t xml:space="preserve">Figure 8</w:t>
        </w:r>
      </w:hyperlink>
      <w:r>
        <w:t xml:space="preserve">. A table showing t-tests and Cohen’s D effect sizes for comparisons of MPS subscale scores within diagnostic groups is presented in Supplemental</w:t>
      </w:r>
      <w:r>
        <w:t xml:space="preserve"> </w:t>
      </w:r>
      <w:r>
        <w:rPr>
          <w:b/>
          <w:bCs/>
        </w:rPr>
        <w:t xml:space="preserve">?@tbl-MPS</w:t>
      </w:r>
      <w:r>
        <w:t xml:space="preserve">. Cohen’s D effect sizes ranged from small-to-moderate (NZ Range = 0.004-0.592; Median = 0.172; SE Range = 0.002-0.543; Median = 0.161; USA Range = 0.002-0.546; Median = 0.224).</w:t>
      </w:r>
    </w:p>
    <w:bookmarkEnd w:id="42"/>
    <w:bookmarkEnd w:id="43"/>
    <w:bookmarkStart w:id="102" w:name="supplement"/>
    <w:p>
      <w:pPr>
        <w:pStyle w:val="Heading1"/>
      </w:pPr>
      <w:r>
        <w:t xml:space="preserve">Supplement</w:t>
      </w:r>
    </w:p>
    <w:bookmarkStart w:id="100" w:name="figures"/>
    <w:p>
      <w:pPr>
        <w:pStyle w:val="Heading2"/>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7" w:name="fig-flowchart"/>
          <w:p>
            <w:pPr>
              <w:pStyle w:val="Compact"/>
              <w:jc w:val="center"/>
            </w:pPr>
            <w:r>
              <w:drawing>
                <wp:inline>
                  <wp:extent cx="5334000" cy="3934239"/>
                  <wp:effectExtent b="0" l="0" r="0" t="0"/>
                  <wp:docPr descr="" title="" id="45" name="Picture"/>
                  <a:graphic>
                    <a:graphicData uri="http://schemas.openxmlformats.org/drawingml/2006/picture">
                      <pic:pic>
                        <pic:nvPicPr>
                          <pic:cNvPr descr="figs/flowchart.png" id="46" name="Picture"/>
                          <pic:cNvPicPr>
                            <a:picLocks noChangeArrowheads="1" noChangeAspect="1"/>
                          </pic:cNvPicPr>
                        </pic:nvPicPr>
                        <pic:blipFill>
                          <a:blip r:embed="rId44"/>
                          <a:stretch>
                            <a:fillRect/>
                          </a:stretch>
                        </pic:blipFill>
                        <pic:spPr bwMode="auto">
                          <a:xfrm>
                            <a:off x="0" y="0"/>
                            <a:ext cx="5334000" cy="3934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flowchart of item responses</w:t>
            </w:r>
          </w:p>
          <w:bookmarkEnd w:id="47"/>
        </w:tc>
      </w:tr>
    </w:tbl>
    <w:bookmarkStart w:id="60" w:name="fig-Q1sensitivity"/>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1" w:name="fig-Q1sensitivity-1"/>
                <w:p>
                  <w:pPr>
                    <w:pStyle w:val="Compact"/>
                    <w:jc w:val="center"/>
                    <w:jc w:val="left"/>
                  </w:pPr>
                  <w:r>
                    <w:drawing>
                      <wp:inline>
                        <wp:extent cx="5334000" cy="7334250"/>
                        <wp:effectExtent b="0" l="0" r="0" t="0"/>
                        <wp:docPr descr="" title="" id="49" name="Picture"/>
                        <a:graphic>
                          <a:graphicData uri="http://schemas.openxmlformats.org/drawingml/2006/picture">
                            <pic:pic>
                              <pic:nvPicPr>
                                <pic:cNvPr descr="figs/Q1_sensitivity_NZ.png" id="50" name="Picture"/>
                                <pic:cNvPicPr>
                                  <a:picLocks noChangeArrowheads="1" noChangeAspect="1"/>
                                </pic:cNvPicPr>
                              </pic:nvPicPr>
                              <pic:blipFill>
                                <a:blip r:embed="rId48"/>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New Zealand</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5" w:name="fig-Q1sensitivity-2"/>
                <w:p>
                  <w:pPr>
                    <w:pStyle w:val="Compact"/>
                    <w:jc w:val="center"/>
                    <w:jc w:val="left"/>
                  </w:pPr>
                  <w:r>
                    <w:drawing>
                      <wp:inline>
                        <wp:extent cx="5334000" cy="7334250"/>
                        <wp:effectExtent b="0" l="0" r="0" t="0"/>
                        <wp:docPr descr="" title="" id="53" name="Picture"/>
                        <a:graphic>
                          <a:graphicData uri="http://schemas.openxmlformats.org/drawingml/2006/picture">
                            <pic:pic>
                              <pic:nvPicPr>
                                <pic:cNvPr descr="figs/Q1_sensitivity_SE.png" id="54" name="Picture"/>
                                <pic:cNvPicPr>
                                  <a:picLocks noChangeArrowheads="1" noChangeAspect="1"/>
                                </pic:cNvPicPr>
                              </pic:nvPicPr>
                              <pic:blipFill>
                                <a:blip r:embed="rId52"/>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 w:name="fig-Q1sensitivity-3"/>
                <w:p>
                  <w:pPr>
                    <w:pStyle w:val="Compact"/>
                    <w:jc w:val="center"/>
                    <w:jc w:val="left"/>
                  </w:pPr>
                  <w:r>
                    <w:drawing>
                      <wp:inline>
                        <wp:extent cx="5334000" cy="7334250"/>
                        <wp:effectExtent b="0" l="0" r="0" t="0"/>
                        <wp:docPr descr="" title="" id="57" name="Picture"/>
                        <a:graphic>
                          <a:graphicData uri="http://schemas.openxmlformats.org/drawingml/2006/picture">
                            <pic:pic>
                              <pic:nvPicPr>
                                <pic:cNvPr descr="figs/Q1_sensitivity_USA.png" id="58" name="Picture"/>
                                <pic:cNvPicPr>
                                  <a:picLocks noChangeArrowheads="1" noChangeAspect="1"/>
                                </pic:cNvPicPr>
                              </pic:nvPicPr>
                              <pic:blipFill>
                                <a:blip r:embed="rId56"/>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USA</w:t>
                  </w:r>
                </w:p>
                <w:bookmarkEnd w:id="59"/>
              </w:tc>
            </w:tr>
          </w:tbl>
          <w:p/>
        </w:tc>
      </w:tr>
    </w:tbl>
    <w:p>
      <w:pPr>
        <w:pStyle w:val="BodyText"/>
      </w:pPr>
      <w:pPr>
        <w:spacing w:before="200"/>
        <w:pStyle w:val="ImageCaption"/>
      </w:pPr>
      <w:r>
        <w:t xml:space="preserve">Figure 5: Accuracy of Q1 Any (#1) and Q1 Regular (#2) in detecting groups defined in approaches 3-8. Higher values represent greater validity/higher accuracy</w:t>
      </w:r>
    </w:p>
    <w:bookmarkEnd w:id="60"/>
    <w:p>
      <w:pPr>
        <w:pStyle w:val="BodyText"/>
      </w:pPr>
      <w:r>
        <w:t xml:space="preserve"> </w:t>
      </w:r>
    </w:p>
    <w:bookmarkStart w:id="73" w:name="fig-npv"/>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4" w:name="fig-npv-1"/>
                <w:p>
                  <w:pPr>
                    <w:pStyle w:val="Compact"/>
                    <w:jc w:val="center"/>
                    <w:jc w:val="left"/>
                  </w:pPr>
                  <w:r>
                    <w:drawing>
                      <wp:inline>
                        <wp:extent cx="5334000" cy="5334000"/>
                        <wp:effectExtent b="0" l="0" r="0" t="0"/>
                        <wp:docPr descr="" title="" id="62" name="Picture"/>
                        <a:graphic>
                          <a:graphicData uri="http://schemas.openxmlformats.org/drawingml/2006/picture">
                            <pic:pic>
                              <pic:nvPicPr>
                                <pic:cNvPr descr="figs/NPV_NZ.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New Zealand</w:t>
                  </w:r>
                </w:p>
                <w:bookmarkEnd w:id="6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8" w:name="fig-npv-2"/>
                <w:p>
                  <w:pPr>
                    <w:pStyle w:val="Compact"/>
                    <w:jc w:val="center"/>
                    <w:jc w:val="left"/>
                  </w:pPr>
                  <w:r>
                    <w:drawing>
                      <wp:inline>
                        <wp:extent cx="5334000" cy="5334000"/>
                        <wp:effectExtent b="0" l="0" r="0" t="0"/>
                        <wp:docPr descr="" title="" id="66" name="Picture"/>
                        <a:graphic>
                          <a:graphicData uri="http://schemas.openxmlformats.org/drawingml/2006/picture">
                            <pic:pic>
                              <pic:nvPicPr>
                                <pic:cNvPr descr="figs/NPV_SE.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6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2" w:name="fig-npv-3"/>
                <w:p>
                  <w:pPr>
                    <w:pStyle w:val="Compact"/>
                    <w:jc w:val="center"/>
                    <w:jc w:val="left"/>
                  </w:pPr>
                  <w:r>
                    <w:drawing>
                      <wp:inline>
                        <wp:extent cx="5334000" cy="5334000"/>
                        <wp:effectExtent b="0" l="0" r="0" t="0"/>
                        <wp:docPr descr="" title="" id="70" name="Picture"/>
                        <a:graphic>
                          <a:graphicData uri="http://schemas.openxmlformats.org/drawingml/2006/picture">
                            <pic:pic>
                              <pic:nvPicPr>
                                <pic:cNvPr descr="figs/NPV_USA.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USA</w:t>
                  </w:r>
                </w:p>
                <w:bookmarkEnd w:id="72"/>
              </w:tc>
            </w:tr>
          </w:tbl>
          <w:p/>
        </w:tc>
      </w:tr>
    </w:tbl>
    <w:p>
      <w:pPr>
        <w:pStyle w:val="BodyText"/>
      </w:pPr>
      <w:pPr>
        <w:spacing w:before="200"/>
        <w:pStyle w:val="ImageCaption"/>
      </w:pPr>
      <w:r>
        <w:t xml:space="preserve">Figure 6: Confusion matrix components of ED100k Exercise Scoring Apporoaches vs. current CET and EDEQ exercise</w:t>
      </w:r>
    </w:p>
    <w:bookmarkEnd w:id="73"/>
    <w:p>
      <w:pPr>
        <w:pStyle w:val="BodyText"/>
      </w:pPr>
      <w:r>
        <w:t xml:space="preserve"> </w:t>
      </w:r>
    </w:p>
    <w:bookmarkStart w:id="86" w:name="fig-OCI"/>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7" w:name="fig-OCI-1"/>
                <w:p>
                  <w:pPr>
                    <w:pStyle w:val="Compact"/>
                    <w:jc w:val="center"/>
                    <w:jc w:val="left"/>
                  </w:pPr>
                  <w:r>
                    <w:drawing>
                      <wp:inline>
                        <wp:extent cx="5334000" cy="3733799"/>
                        <wp:effectExtent b="0" l="0" r="0" t="0"/>
                        <wp:docPr descr="" title="" id="75" name="Picture"/>
                        <a:graphic>
                          <a:graphicData uri="http://schemas.openxmlformats.org/drawingml/2006/picture">
                            <pic:pic>
                              <pic:nvPicPr>
                                <pic:cNvPr descr="figs/OCI_combinedNZ.png" id="76" name="Picture"/>
                                <pic:cNvPicPr>
                                  <a:picLocks noChangeArrowheads="1" noChangeAspect="1"/>
                                </pic:cNvPicPr>
                              </pic:nvPicPr>
                              <pic:blipFill>
                                <a:blip r:embed="rId7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New Zealand</w:t>
                  </w:r>
                </w:p>
                <w:bookmarkEnd w:id="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1" w:name="fig-OCI-2"/>
                <w:p>
                  <w:pPr>
                    <w:pStyle w:val="Compact"/>
                    <w:jc w:val="center"/>
                    <w:jc w:val="left"/>
                  </w:pPr>
                  <w:r>
                    <w:drawing>
                      <wp:inline>
                        <wp:extent cx="5334000" cy="3733799"/>
                        <wp:effectExtent b="0" l="0" r="0" t="0"/>
                        <wp:docPr descr="" title="" id="79" name="Picture"/>
                        <a:graphic>
                          <a:graphicData uri="http://schemas.openxmlformats.org/drawingml/2006/picture">
                            <pic:pic>
                              <pic:nvPicPr>
                                <pic:cNvPr descr="figs/OCI_combinedSE.png" id="80" name="Picture"/>
                                <pic:cNvPicPr>
                                  <a:picLocks noChangeArrowheads="1" noChangeAspect="1"/>
                                </pic:cNvPicPr>
                              </pic:nvPicPr>
                              <pic:blipFill>
                                <a:blip r:embed="rId78"/>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5" w:name="fig-OCI-3"/>
                <w:p>
                  <w:pPr>
                    <w:pStyle w:val="Compact"/>
                    <w:jc w:val="center"/>
                    <w:jc w:val="left"/>
                  </w:pPr>
                  <w:r>
                    <w:drawing>
                      <wp:inline>
                        <wp:extent cx="5334000" cy="3733799"/>
                        <wp:effectExtent b="0" l="0" r="0" t="0"/>
                        <wp:docPr descr="" title="" id="83" name="Picture"/>
                        <a:graphic>
                          <a:graphicData uri="http://schemas.openxmlformats.org/drawingml/2006/picture">
                            <pic:pic>
                              <pic:nvPicPr>
                                <pic:cNvPr descr="figs/OCI_combinedUSA.png" id="84" name="Picture"/>
                                <pic:cNvPicPr>
                                  <a:picLocks noChangeArrowheads="1" noChangeAspect="1"/>
                                </pic:cNvPicPr>
                              </pic:nvPicPr>
                              <pic:blipFill>
                                <a:blip r:embed="rId82"/>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USA</w:t>
                  </w:r>
                </w:p>
                <w:bookmarkEnd w:id="85"/>
              </w:tc>
            </w:tr>
          </w:tbl>
          <w:p/>
        </w:tc>
      </w:tr>
    </w:tbl>
    <w:p>
      <w:pPr>
        <w:pStyle w:val="BodyText"/>
      </w:pPr>
      <w:pPr>
        <w:spacing w:before="200"/>
        <w:pStyle w:val="ImageCaption"/>
      </w:pPr>
      <w:r>
        <w:t xml:space="preserve">Figure 7: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86"/>
    <w:p>
      <w:pPr>
        <w:pStyle w:val="BodyText"/>
      </w:pPr>
      <w:r>
        <w:t xml:space="preserve"> </w:t>
      </w:r>
    </w:p>
    <w:bookmarkStart w:id="99" w:name="fig-MPS"/>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0" w:name="fig-MPS-1"/>
                <w:p>
                  <w:pPr>
                    <w:pStyle w:val="Compact"/>
                    <w:jc w:val="center"/>
                    <w:jc w:val="left"/>
                  </w:pPr>
                  <w:r>
                    <w:drawing>
                      <wp:inline>
                        <wp:extent cx="5334000" cy="3733799"/>
                        <wp:effectExtent b="0" l="0" r="0" t="0"/>
                        <wp:docPr descr="" title="" id="88" name="Picture"/>
                        <a:graphic>
                          <a:graphicData uri="http://schemas.openxmlformats.org/drawingml/2006/picture">
                            <pic:pic>
                              <pic:nvPicPr>
                                <pic:cNvPr descr="figs/MPS_combinedNZ.png" id="89" name="Picture"/>
                                <pic:cNvPicPr>
                                  <a:picLocks noChangeArrowheads="1" noChangeAspect="1"/>
                                </pic:cNvPicPr>
                              </pic:nvPicPr>
                              <pic:blipFill>
                                <a:blip r:embed="rId87"/>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New Zealand</w:t>
                  </w:r>
                </w:p>
                <w:bookmarkEnd w:id="9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4" w:name="fig-MPS-2"/>
                <w:p>
                  <w:pPr>
                    <w:pStyle w:val="Compact"/>
                    <w:jc w:val="center"/>
                    <w:jc w:val="left"/>
                  </w:pPr>
                  <w:r>
                    <w:drawing>
                      <wp:inline>
                        <wp:extent cx="5334000" cy="3733799"/>
                        <wp:effectExtent b="0" l="0" r="0" t="0"/>
                        <wp:docPr descr="" title="" id="92" name="Picture"/>
                        <a:graphic>
                          <a:graphicData uri="http://schemas.openxmlformats.org/drawingml/2006/picture">
                            <pic:pic>
                              <pic:nvPicPr>
                                <pic:cNvPr descr="figs/MPS_combinedSE.png" id="93" name="Picture"/>
                                <pic:cNvPicPr>
                                  <a:picLocks noChangeArrowheads="1" noChangeAspect="1"/>
                                </pic:cNvPicPr>
                              </pic:nvPicPr>
                              <pic:blipFill>
                                <a:blip r:embed="rId91"/>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9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8" w:name="fig-MPS-3"/>
                <w:p>
                  <w:pPr>
                    <w:pStyle w:val="Compact"/>
                    <w:jc w:val="center"/>
                    <w:jc w:val="left"/>
                  </w:pPr>
                  <w:r>
                    <w:drawing>
                      <wp:inline>
                        <wp:extent cx="5334000" cy="3733799"/>
                        <wp:effectExtent b="0" l="0" r="0" t="0"/>
                        <wp:docPr descr="" title="" id="96" name="Picture"/>
                        <a:graphic>
                          <a:graphicData uri="http://schemas.openxmlformats.org/drawingml/2006/picture">
                            <pic:pic>
                              <pic:nvPicPr>
                                <pic:cNvPr descr="figs/MPS_combinedUSA.png" id="97" name="Picture"/>
                                <pic:cNvPicPr>
                                  <a:picLocks noChangeArrowheads="1" noChangeAspect="1"/>
                                </pic:cNvPicPr>
                              </pic:nvPicPr>
                              <pic:blipFill>
                                <a:blip r:embed="rId95"/>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USA</w:t>
                  </w:r>
                </w:p>
                <w:bookmarkEnd w:id="98"/>
              </w:tc>
            </w:tr>
          </w:tbl>
          <w:p/>
        </w:tc>
      </w:tr>
    </w:tbl>
    <w:p>
      <w:pPr>
        <w:pStyle w:val="BodyText"/>
      </w:pPr>
      <w:pPr>
        <w:spacing w:before="200"/>
        <w:pStyle w:val="ImageCaption"/>
      </w:pPr>
      <w:r>
        <w:t xml:space="preserve">Figure 8: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99"/>
    <w:bookmarkEnd w:id="100"/>
    <w:bookmarkStart w:id="101" w:name="tables-see-supplemental_tables.xlsx"/>
    <w:p>
      <w:pPr>
        <w:pStyle w:val="Heading2"/>
      </w:pPr>
      <w:r>
        <w:t xml:space="preserve">Tables (See Supplemental_Tables.xlsx)</w:t>
      </w:r>
    </w:p>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Results_Docx</dc:title>
  <dc:creator/>
  <cp:keywords/>
  <dcterms:created xsi:type="dcterms:W3CDTF">2025-01-24T20:51:42Z</dcterms:created>
  <dcterms:modified xsi:type="dcterms:W3CDTF">2025-01-24T20:51:42Z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